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августа 2020 г. N 1235</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ФЕДЕРАЛЬНОГО СТАНДАРТА</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"ПРОВЕДЕНИЕ ПРОВЕРОК, РЕВИЗИЙ И ОБСЛЕДОВАНИЙ</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ОФОРМЛЕНИЕ ИХ РЕЗУЛЬТАТОВ"</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w:t>
      </w:r>
      <w:hyperlink w:anchor="Par28"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0" w:name="Par12"/>
      <w:bookmarkEnd w:id="0"/>
      <w:r>
        <w:rPr>
          <w:rFonts w:ascii="Arial" w:hAnsi="Arial" w:cs="Arial"/>
          <w:sz w:val="20"/>
          <w:szCs w:val="20"/>
        </w:rPr>
        <w:t xml:space="preserve">2. Настоящее постановление вступает в силу со дня его официального опубликования, за исключением </w:t>
      </w:r>
      <w:hyperlink w:anchor="Par227" w:history="1">
        <w:r>
          <w:rPr>
            <w:rFonts w:ascii="Arial" w:hAnsi="Arial" w:cs="Arial"/>
            <w:color w:val="0000FF"/>
            <w:sz w:val="20"/>
            <w:szCs w:val="20"/>
          </w:rPr>
          <w:t>пункта 56</w:t>
        </w:r>
      </w:hyperlink>
      <w:r>
        <w:rPr>
          <w:rFonts w:ascii="Arial" w:hAnsi="Arial" w:cs="Arial"/>
          <w:sz w:val="20"/>
          <w:szCs w:val="20"/>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1" w:name="Par13"/>
      <w:bookmarkEnd w:id="1"/>
      <w:r>
        <w:rPr>
          <w:rFonts w:ascii="Arial" w:hAnsi="Arial" w:cs="Arial"/>
          <w:sz w:val="20"/>
          <w:szCs w:val="20"/>
        </w:rPr>
        <w:t xml:space="preserve">3. Установить, что до вступления в силу </w:t>
      </w:r>
      <w:hyperlink w:anchor="Par227" w:history="1">
        <w:r>
          <w:rPr>
            <w:rFonts w:ascii="Arial" w:hAnsi="Arial" w:cs="Arial"/>
            <w:color w:val="0000FF"/>
            <w:sz w:val="20"/>
            <w:szCs w:val="20"/>
          </w:rPr>
          <w:t>пункта 56</w:t>
        </w:r>
      </w:hyperlink>
      <w:r>
        <w:rPr>
          <w:rFonts w:ascii="Arial" w:hAnsi="Arial" w:cs="Arial"/>
          <w:sz w:val="20"/>
          <w:szCs w:val="20"/>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C72A0" w:rsidRDefault="00DC72A0" w:rsidP="00DC72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августа 2020 г. N 1235</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 w:name="Par28"/>
      <w:bookmarkEnd w:id="2"/>
      <w:r>
        <w:rPr>
          <w:rFonts w:ascii="Arial" w:eastAsiaTheme="minorHAnsi" w:hAnsi="Arial" w:cs="Arial"/>
          <w:color w:val="auto"/>
          <w:sz w:val="20"/>
          <w:szCs w:val="20"/>
        </w:rPr>
        <w:t>ФЕДЕРАЛЬНЫЙ СТАНДАРТ</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"ПРОВЕДЕНИЕ ПРОВЕРОК, РЕВИЗИЙ И ОБСЛЕДОВАНИЙ</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ОФОРМЛЕНИЕ ИХ РЕЗУЛЬТАТОВ"</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Стандарт регламентирует:</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контрольного мероприятия и подготовку к его проведению;</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результатов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рабочих дней со дня получения запроса объектом контроля при проведении камеральной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 контроля - при проведении камеральной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официальная электронная почта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съемный носитель информации;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иной способ с применением автоматизированных информационных систем, свидетельствующий о дате представления документов.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Истребуемые документы представляются с учетом законодательства Российской Федерации о государственной тайне.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3" w:name="Par59"/>
      <w:bookmarkEnd w:id="3"/>
      <w:r>
        <w:rPr>
          <w:rFonts w:ascii="Arial" w:hAnsi="Arial" w:cs="Arial"/>
          <w:sz w:val="20"/>
          <w:szCs w:val="20"/>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запрос объекту контроля - не позднее дня, следующего за днем его подписания;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о завершении контрольных действий, предусмотренных </w:t>
      </w:r>
      <w:hyperlink w:anchor="Par98" w:history="1">
        <w:r>
          <w:rPr>
            <w:rFonts w:ascii="Arial" w:hAnsi="Arial" w:cs="Arial"/>
            <w:color w:val="0000FF"/>
            <w:sz w:val="20"/>
            <w:szCs w:val="20"/>
          </w:rPr>
          <w:t>пунктом 19</w:t>
        </w:r>
      </w:hyperlink>
      <w:r>
        <w:rPr>
          <w:rFonts w:ascii="Arial" w:hAnsi="Arial" w:cs="Arial"/>
          <w:sz w:val="20"/>
          <w:szCs w:val="20"/>
        </w:rPr>
        <w:t xml:space="preserve"> стандарта, - не позднее последнего дня срока проведения контрольных действий (даты окончания контрольных действий);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 - не позднее 3 рабочих дней со дня их подписания.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Назначение контрольного мероприятия и подготовка</w:t>
      </w: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его проведению</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Решение о назначении планового контрольного мероприятия принимается на основании плана контрольных мероприятий.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о назначении внепланового контрольного мероприятия может быть принято на основании: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анализа данных, содержащихся в информационных системах;</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истечения срока исполнения объектами контроля ранее выданных органом контроля представлений и (или) предписаний;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Pr>
            <w:rFonts w:ascii="Arial" w:hAnsi="Arial" w:cs="Arial"/>
            <w:color w:val="0000FF"/>
            <w:sz w:val="20"/>
            <w:szCs w:val="20"/>
          </w:rPr>
          <w:t>подпунктом "г" пункта 3</w:t>
        </w:r>
      </w:hyperlink>
      <w:r>
        <w:rPr>
          <w:rFonts w:ascii="Arial" w:hAnsi="Arial" w:cs="Arial"/>
          <w:sz w:val="20"/>
          <w:szCs w:val="20"/>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начала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основных вопросов, подлежащих изучению в ходе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состава проверочной (ревизионной) группы или уполномоченного на проведение контрольного мероприятия должностного лица;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перечня основных вопросов, подлежащих изучению в ходе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привлекаемых специалистов, поручения на проведение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проверяемого периода;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срока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решении о назначении контрольного мероприятия срок проведения контрольного мероприятия указывается в рабочих днях.</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Поручение на проведение экспертизы не должно дублировать предусмотренные </w:t>
      </w:r>
      <w:hyperlink w:anchor="Par98" w:history="1">
        <w:r>
          <w:rPr>
            <w:rFonts w:ascii="Arial" w:hAnsi="Arial" w:cs="Arial"/>
            <w:color w:val="0000FF"/>
            <w:sz w:val="20"/>
            <w:szCs w:val="20"/>
          </w:rPr>
          <w:t>пунктом 19</w:t>
        </w:r>
      </w:hyperlink>
      <w:r>
        <w:rPr>
          <w:rFonts w:ascii="Arial" w:hAnsi="Arial" w:cs="Arial"/>
          <w:sz w:val="20"/>
          <w:szCs w:val="20"/>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w:t>
      </w:r>
      <w:r>
        <w:rPr>
          <w:rFonts w:ascii="Arial" w:hAnsi="Arial" w:cs="Arial"/>
          <w:sz w:val="20"/>
          <w:szCs w:val="20"/>
        </w:rPr>
        <w:lastRenderedPageBreak/>
        <w:t>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Проведение контрольного мероприятия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В ходе проведения контрольного мероприятия могут осуществляться контрольные действия, организовываться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4" w:name="Par98"/>
      <w:bookmarkEnd w:id="4"/>
      <w:r>
        <w:rPr>
          <w:rFonts w:ascii="Arial" w:hAnsi="Arial" w:cs="Arial"/>
          <w:sz w:val="20"/>
          <w:szCs w:val="20"/>
        </w:rPr>
        <w:t>19. К контрольным действиям при проведении контрольных мероприятий относятся: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Специалист в ходе проведения экспертизы обязан:</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сообщить организующему экспертизу руководителю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 наличии обстоятельств, препятствующих проведению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обеспечить сохранность представленных документов.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Специалист в ходе проведения экспертизы имеет право:</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письменно сообщать организующему экспертизу руководителю контрольного мероприятия о необходимости: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осмотра, инвентаризации, наблюдения, пересчета, исследования, контрольных обмеров и других действий по контролю;</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представления дополнительных документов и информации, необходимых для составления экспертного заключения;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продления срока проведения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 результатам проведения экспертизы специалистом составляется экспертное заключение.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Ведомственным стандартом органа контроля может быть предусмотрен порядок назначения (организации) экспертиз.</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После проведения всех контрольных действий, предусмотренных </w:t>
      </w:r>
      <w:hyperlink w:anchor="Par98" w:history="1">
        <w:r>
          <w:rPr>
            <w:rFonts w:ascii="Arial" w:hAnsi="Arial" w:cs="Arial"/>
            <w:color w:val="0000FF"/>
            <w:sz w:val="20"/>
            <w:szCs w:val="20"/>
          </w:rPr>
          <w:t>пунктом 19</w:t>
        </w:r>
      </w:hyperlink>
      <w:r>
        <w:rPr>
          <w:rFonts w:ascii="Arial" w:hAnsi="Arial" w:cs="Arial"/>
          <w:sz w:val="20"/>
          <w:szCs w:val="20"/>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ar98" w:history="1">
        <w:r>
          <w:rPr>
            <w:rFonts w:ascii="Arial" w:hAnsi="Arial" w:cs="Arial"/>
            <w:color w:val="0000FF"/>
            <w:sz w:val="20"/>
            <w:szCs w:val="20"/>
          </w:rPr>
          <w:t>пунктом 19</w:t>
        </w:r>
      </w:hyperlink>
      <w:r>
        <w:rPr>
          <w:rFonts w:ascii="Arial" w:hAnsi="Arial" w:cs="Arial"/>
          <w:sz w:val="20"/>
          <w:szCs w:val="20"/>
        </w:rPr>
        <w:t xml:space="preserve"> стандарта, и направляет ее объекту контроля в порядке, предусмотренном </w:t>
      </w:r>
      <w:hyperlink w:anchor="Par59" w:history="1">
        <w:r>
          <w:rPr>
            <w:rFonts w:ascii="Arial" w:hAnsi="Arial" w:cs="Arial"/>
            <w:color w:val="0000FF"/>
            <w:sz w:val="20"/>
            <w:szCs w:val="20"/>
          </w:rPr>
          <w:t>пунктом 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5" w:name="Par130"/>
      <w:bookmarkEnd w:id="5"/>
      <w:r>
        <w:rPr>
          <w:rFonts w:ascii="Arial" w:hAnsi="Arial" w:cs="Arial"/>
          <w:sz w:val="20"/>
          <w:szCs w:val="20"/>
        </w:rPr>
        <w:t>26. Контрольное мероприятие может быть неоднократно приостановлено:</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проведения встречных проверок и (или) обследований;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период проведения проверок, осуществляемых в соответствии с </w:t>
      </w:r>
      <w:hyperlink r:id="rId7" w:history="1">
        <w:r>
          <w:rPr>
            <w:rFonts w:ascii="Arial" w:hAnsi="Arial" w:cs="Arial"/>
            <w:color w:val="0000FF"/>
            <w:sz w:val="20"/>
            <w:szCs w:val="20"/>
          </w:rPr>
          <w:t>пунктом 2 статьи 266.1</w:t>
        </w:r>
      </w:hyperlink>
      <w:r>
        <w:rPr>
          <w:rFonts w:ascii="Arial" w:hAnsi="Arial" w:cs="Arial"/>
          <w:sz w:val="20"/>
          <w:szCs w:val="20"/>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организации и проведения экспертиз;</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срок приостановлений контрольного мероприятия не может составлять более 2 лет.</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время приостановления проведения контрольного мероприятия течение его срока прерывается.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Контрольное мероприятие подлежит прекращению в случае установления после его назначения факта: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6" w:name="Par144"/>
      <w:bookmarkEnd w:id="6"/>
      <w:r>
        <w:rPr>
          <w:rFonts w:ascii="Arial" w:hAnsi="Arial" w:cs="Arial"/>
          <w:sz w:val="20"/>
          <w:szCs w:val="20"/>
        </w:rPr>
        <w:t>ликвидации (упразднения)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неосуществления объектом контроля в проверяемом периоде деятельности в соответствии с темой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невозможности проведения контрольного мероприятия по истечении предельного периода приостановления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ar59" w:history="1">
        <w:r>
          <w:rPr>
            <w:rFonts w:ascii="Arial" w:hAnsi="Arial" w:cs="Arial"/>
            <w:color w:val="0000FF"/>
            <w:sz w:val="20"/>
            <w:szCs w:val="20"/>
          </w:rPr>
          <w:t>пунктом 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решения о прекращении контрольного мероприятия, принятого на основании, предусмотренном </w:t>
      </w:r>
      <w:hyperlink w:anchor="Par144" w:history="1">
        <w:r>
          <w:rPr>
            <w:rFonts w:ascii="Arial" w:hAnsi="Arial" w:cs="Arial"/>
            <w:color w:val="0000FF"/>
            <w:sz w:val="20"/>
            <w:szCs w:val="20"/>
          </w:rPr>
          <w:t>абзацем вторым пункта 29</w:t>
        </w:r>
      </w:hyperlink>
      <w:r>
        <w:rPr>
          <w:rFonts w:ascii="Arial" w:hAnsi="Arial" w:cs="Arial"/>
          <w:sz w:val="20"/>
          <w:szCs w:val="20"/>
        </w:rPr>
        <w:t xml:space="preserve"> стандарта, объекту контроля не направляется.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7" w:name="Par150"/>
      <w:bookmarkEnd w:id="7"/>
      <w:r>
        <w:rPr>
          <w:rFonts w:ascii="Arial" w:hAnsi="Arial" w:cs="Arial"/>
          <w:sz w:val="20"/>
          <w:szCs w:val="20"/>
        </w:rP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Камеральная проверка</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Par98" w:history="1">
        <w:r>
          <w:rPr>
            <w:rFonts w:ascii="Arial" w:hAnsi="Arial" w:cs="Arial"/>
            <w:color w:val="0000FF"/>
            <w:sz w:val="20"/>
            <w:szCs w:val="20"/>
          </w:rPr>
          <w:t>пункте 19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срок проведения камеральной проверки с учетом всех продлений срока ее проведения не может составлять более 50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8" w:name="Par158"/>
      <w:bookmarkEnd w:id="8"/>
      <w:r>
        <w:rPr>
          <w:rFonts w:ascii="Arial" w:hAnsi="Arial" w:cs="Arial"/>
          <w:sz w:val="20"/>
          <w:szCs w:val="20"/>
        </w:rP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обследования;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встречной проверки.</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Выездная проверка (ревизия)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bookmarkStart w:id="9" w:name="Par164"/>
      <w:bookmarkEnd w:id="9"/>
      <w:r>
        <w:rPr>
          <w:rFonts w:ascii="Arial" w:hAnsi="Arial" w:cs="Arial"/>
          <w:sz w:val="20"/>
          <w:szCs w:val="20"/>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ar98" w:history="1">
        <w:r>
          <w:rPr>
            <w:rFonts w:ascii="Arial" w:hAnsi="Arial" w:cs="Arial"/>
            <w:color w:val="0000FF"/>
            <w:sz w:val="20"/>
            <w:szCs w:val="20"/>
          </w:rPr>
          <w:t>пункте 19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Срок проведения выездной проверки (ревизии) должен составлять не более 40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10" w:name="Par167"/>
      <w:bookmarkEnd w:id="10"/>
      <w:r>
        <w:rPr>
          <w:rFonts w:ascii="Arial" w:hAnsi="Arial" w:cs="Arial"/>
          <w:sz w:val="20"/>
          <w:szCs w:val="20"/>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Общий срок проведения выездной проверки (ревизии) с учетом всех продлений срока ее проведения не может составлять более 60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11" w:name="Par169"/>
      <w:bookmarkEnd w:id="11"/>
      <w:r>
        <w:rPr>
          <w:rFonts w:ascii="Arial" w:hAnsi="Arial" w:cs="Arial"/>
          <w:sz w:val="20"/>
          <w:szCs w:val="20"/>
        </w:rPr>
        <w:t>41. Основаниями продления срока проведения выездной проверки (ревизии) являются: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12" w:name="Par173"/>
      <w:bookmarkEnd w:id="12"/>
      <w:r>
        <w:rPr>
          <w:rFonts w:ascii="Arial" w:hAnsi="Arial" w:cs="Arial"/>
          <w:sz w:val="20"/>
          <w:szCs w:val="20"/>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обследования;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встречной проверки.</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Обследование</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Обследование проводится в порядке, предусмотренном </w:t>
      </w:r>
      <w:hyperlink w:anchor="Par130" w:history="1">
        <w:r>
          <w:rPr>
            <w:rFonts w:ascii="Arial" w:hAnsi="Arial" w:cs="Arial"/>
            <w:color w:val="0000FF"/>
            <w:sz w:val="20"/>
            <w:szCs w:val="20"/>
          </w:rPr>
          <w:t>пунктами 26</w:t>
        </w:r>
      </w:hyperlink>
      <w:r>
        <w:rPr>
          <w:rFonts w:ascii="Arial" w:hAnsi="Arial" w:cs="Arial"/>
          <w:sz w:val="20"/>
          <w:szCs w:val="20"/>
        </w:rPr>
        <w:t xml:space="preserve"> - </w:t>
      </w:r>
      <w:hyperlink w:anchor="Par150" w:history="1">
        <w:r>
          <w:rPr>
            <w:rFonts w:ascii="Arial" w:hAnsi="Arial" w:cs="Arial"/>
            <w:color w:val="0000FF"/>
            <w:sz w:val="20"/>
            <w:szCs w:val="20"/>
          </w:rPr>
          <w:t>32</w:t>
        </w:r>
      </w:hyperlink>
      <w:r>
        <w:rPr>
          <w:rFonts w:ascii="Arial" w:hAnsi="Arial" w:cs="Arial"/>
          <w:sz w:val="20"/>
          <w:szCs w:val="20"/>
        </w:rPr>
        <w:t xml:space="preserve">, </w:t>
      </w:r>
      <w:hyperlink w:anchor="Par164" w:history="1">
        <w:r>
          <w:rPr>
            <w:rFonts w:ascii="Arial" w:hAnsi="Arial" w:cs="Arial"/>
            <w:color w:val="0000FF"/>
            <w:sz w:val="20"/>
            <w:szCs w:val="20"/>
          </w:rPr>
          <w:t>37</w:t>
        </w:r>
      </w:hyperlink>
      <w:r>
        <w:rPr>
          <w:rFonts w:ascii="Arial" w:hAnsi="Arial" w:cs="Arial"/>
          <w:sz w:val="20"/>
          <w:szCs w:val="20"/>
        </w:rPr>
        <w:t xml:space="preserve">, </w:t>
      </w:r>
      <w:hyperlink w:anchor="Par167" w:history="1">
        <w:r>
          <w:rPr>
            <w:rFonts w:ascii="Arial" w:hAnsi="Arial" w:cs="Arial"/>
            <w:color w:val="0000FF"/>
            <w:sz w:val="20"/>
            <w:szCs w:val="20"/>
          </w:rPr>
          <w:t>39</w:t>
        </w:r>
      </w:hyperlink>
      <w:r>
        <w:rPr>
          <w:rFonts w:ascii="Arial" w:hAnsi="Arial" w:cs="Arial"/>
          <w:sz w:val="20"/>
          <w:szCs w:val="20"/>
        </w:rPr>
        <w:t xml:space="preserve">, </w:t>
      </w:r>
      <w:hyperlink w:anchor="Par169" w:history="1">
        <w:r>
          <w:rPr>
            <w:rFonts w:ascii="Arial" w:hAnsi="Arial" w:cs="Arial"/>
            <w:color w:val="0000FF"/>
            <w:sz w:val="20"/>
            <w:szCs w:val="20"/>
          </w:rPr>
          <w:t>41</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проведения обследований, назначенных в рамках камеральных проверок или выездных проверок (ревизий) в соответствии с </w:t>
      </w:r>
      <w:hyperlink w:anchor="Par158" w:history="1">
        <w:r>
          <w:rPr>
            <w:rFonts w:ascii="Arial" w:hAnsi="Arial" w:cs="Arial"/>
            <w:color w:val="0000FF"/>
            <w:sz w:val="20"/>
            <w:szCs w:val="20"/>
          </w:rPr>
          <w:t>пунктами 36</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не может превышать 20 рабочих дней, иных обследований - 40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Заключение, оформленное по результатам обследования, назначенного в соответствии с </w:t>
      </w:r>
      <w:hyperlink w:anchor="Par158" w:history="1">
        <w:r>
          <w:rPr>
            <w:rFonts w:ascii="Arial" w:hAnsi="Arial" w:cs="Arial"/>
            <w:color w:val="0000FF"/>
            <w:sz w:val="20"/>
            <w:szCs w:val="20"/>
          </w:rPr>
          <w:t>пунктами 36</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прилагается к акту камеральной проверки или выездной проверки (ревизии), в рамках которых проведено обследование.</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Встречные проверки</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Встречные проверки назначаются и проводятся в порядке, предусмотренном </w:t>
      </w:r>
      <w:hyperlink w:anchor="Par130" w:history="1">
        <w:r>
          <w:rPr>
            <w:rFonts w:ascii="Arial" w:hAnsi="Arial" w:cs="Arial"/>
            <w:color w:val="0000FF"/>
            <w:sz w:val="20"/>
            <w:szCs w:val="20"/>
          </w:rPr>
          <w:t>пунктами 26</w:t>
        </w:r>
      </w:hyperlink>
      <w:r>
        <w:rPr>
          <w:rFonts w:ascii="Arial" w:hAnsi="Arial" w:cs="Arial"/>
          <w:sz w:val="20"/>
          <w:szCs w:val="20"/>
        </w:rPr>
        <w:t xml:space="preserve"> - </w:t>
      </w:r>
      <w:hyperlink w:anchor="Par150" w:history="1">
        <w:r>
          <w:rPr>
            <w:rFonts w:ascii="Arial" w:hAnsi="Arial" w:cs="Arial"/>
            <w:color w:val="0000FF"/>
            <w:sz w:val="20"/>
            <w:szCs w:val="20"/>
          </w:rPr>
          <w:t>32</w:t>
        </w:r>
      </w:hyperlink>
      <w:r>
        <w:rPr>
          <w:rFonts w:ascii="Arial" w:hAnsi="Arial" w:cs="Arial"/>
          <w:sz w:val="20"/>
          <w:szCs w:val="20"/>
        </w:rPr>
        <w:t xml:space="preserve">, </w:t>
      </w:r>
      <w:hyperlink w:anchor="Par164" w:history="1">
        <w:r>
          <w:rPr>
            <w:rFonts w:ascii="Arial" w:hAnsi="Arial" w:cs="Arial"/>
            <w:color w:val="0000FF"/>
            <w:sz w:val="20"/>
            <w:szCs w:val="20"/>
          </w:rPr>
          <w:t>37</w:t>
        </w:r>
      </w:hyperlink>
      <w:r>
        <w:rPr>
          <w:rFonts w:ascii="Arial" w:hAnsi="Arial" w:cs="Arial"/>
          <w:sz w:val="20"/>
          <w:szCs w:val="20"/>
        </w:rPr>
        <w:t xml:space="preserve">, </w:t>
      </w:r>
      <w:hyperlink w:anchor="Par167" w:history="1">
        <w:r>
          <w:rPr>
            <w:rFonts w:ascii="Arial" w:hAnsi="Arial" w:cs="Arial"/>
            <w:color w:val="0000FF"/>
            <w:sz w:val="20"/>
            <w:szCs w:val="20"/>
          </w:rPr>
          <w:t>39</w:t>
        </w:r>
      </w:hyperlink>
      <w:r>
        <w:rPr>
          <w:rFonts w:ascii="Arial" w:hAnsi="Arial" w:cs="Arial"/>
          <w:sz w:val="20"/>
          <w:szCs w:val="20"/>
        </w:rPr>
        <w:t xml:space="preserve">, </w:t>
      </w:r>
      <w:hyperlink w:anchor="Par169" w:history="1">
        <w:r>
          <w:rPr>
            <w:rFonts w:ascii="Arial" w:hAnsi="Arial" w:cs="Arial"/>
            <w:color w:val="0000FF"/>
            <w:sz w:val="20"/>
            <w:szCs w:val="20"/>
          </w:rPr>
          <w:t>41</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Оформление результатов контрольного мероприятия</w:t>
      </w:r>
    </w:p>
    <w:p w:rsidR="00DC72A0" w:rsidRDefault="00DC72A0" w:rsidP="00DC72A0">
      <w:pPr>
        <w:autoSpaceDE w:val="0"/>
        <w:autoSpaceDN w:val="0"/>
        <w:adjustRightInd w:val="0"/>
        <w:spacing w:after="0" w:line="240" w:lineRule="auto"/>
        <w:jc w:val="both"/>
        <w:rPr>
          <w:rFonts w:ascii="Arial" w:hAnsi="Arial" w:cs="Arial"/>
          <w:sz w:val="20"/>
          <w:szCs w:val="20"/>
        </w:rPr>
      </w:pPr>
    </w:p>
    <w:p w:rsidR="00DC72A0" w:rsidRDefault="00DC72A0" w:rsidP="00DC72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48. Оформление результатов проверок (ревизий), встречных проверок, обследований, назначенных в соответствии с </w:t>
      </w:r>
      <w:hyperlink w:anchor="Par158" w:history="1">
        <w:r>
          <w:rPr>
            <w:rFonts w:ascii="Arial" w:hAnsi="Arial" w:cs="Arial"/>
            <w:color w:val="0000FF"/>
            <w:sz w:val="20"/>
            <w:szCs w:val="20"/>
          </w:rPr>
          <w:t>пунктами 36</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осуществляется в срок не более 15 рабочих дней со дня </w:t>
      </w:r>
      <w:r>
        <w:rPr>
          <w:rFonts w:ascii="Arial" w:hAnsi="Arial" w:cs="Arial"/>
          <w:sz w:val="20"/>
          <w:szCs w:val="20"/>
        </w:rPr>
        <w:lastRenderedPageBreak/>
        <w:t>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Оформление результатов контрольного мероприятия предусматривает:</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изложение в акте, заключении результатов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акта, заключения руководителем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При изложении в акте, заключении результатов контрольного мероприятия должны быть обеспечены: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объективность, обоснованность, системность, доступность и лаконичность (без ущерба для содержания);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четкость формулировок описания содержания выявленных нарушений;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логическая и хронологическая последовательность излагаемого материала в рамках каждого проверяемого вопроса;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Текст акта, заключения не должен содержать:</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морально-этическую оценку действий должностных лиц и сотрудников объекта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При составлении акта, заключения также должны соблюдаться следующие требования: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тексте акта, заключения специальные термины и сокращения должны быть объяснены;</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w:t>
      </w:r>
      <w:r>
        <w:rPr>
          <w:rFonts w:ascii="Arial" w:hAnsi="Arial" w:cs="Arial"/>
          <w:sz w:val="20"/>
          <w:szCs w:val="20"/>
        </w:rPr>
        <w:lastRenderedPageBreak/>
        <w:t>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Акт, заключение могут дополняться приложениями. Приложениями к акту, заключению являются: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встречной проверки (в случае ее проведения в рамках камеральной проверки, выездной проверки (ревизии);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заключение по результатам назначенного в соответствии с </w:t>
      </w:r>
      <w:hyperlink w:anchor="Par158" w:history="1">
        <w:r>
          <w:rPr>
            <w:rFonts w:ascii="Arial" w:hAnsi="Arial" w:cs="Arial"/>
            <w:color w:val="0000FF"/>
            <w:sz w:val="20"/>
            <w:szCs w:val="20"/>
          </w:rPr>
          <w:t>пунктами 36</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обследования (в случае проведения такого обследования в рамках камеральной проверки, выездной проверки (ревизии);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ведомости, сводные ведомости (при их наличии);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экспертные заключения;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 подтверждающие результаты контрольного мероприятия.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Акт, заключение составляются в одном экземпляре и подписываются руководителем контрольного мероприятия.</w:t>
      </w:r>
    </w:p>
    <w:p w:rsidR="00DC72A0" w:rsidRDefault="00DC72A0" w:rsidP="00DC72A0">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C72A0">
        <w:trPr>
          <w:jc w:val="center"/>
        </w:trPr>
        <w:tc>
          <w:tcPr>
            <w:tcW w:w="5000" w:type="pct"/>
            <w:tcBorders>
              <w:left w:val="single" w:sz="24" w:space="0" w:color="CED3F1"/>
              <w:right w:val="single" w:sz="24" w:space="0" w:color="F4F3F8"/>
            </w:tcBorders>
            <w:shd w:val="clear" w:color="auto" w:fill="F4F3F8"/>
          </w:tcPr>
          <w:p w:rsidR="00DC72A0" w:rsidRDefault="00DC72A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C72A0" w:rsidRDefault="00DC72A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56 </w:t>
            </w:r>
            <w:hyperlink w:anchor="Par12" w:history="1">
              <w:r>
                <w:rPr>
                  <w:rFonts w:ascii="Arial" w:hAnsi="Arial" w:cs="Arial"/>
                  <w:color w:val="0000FF"/>
                  <w:sz w:val="20"/>
                  <w:szCs w:val="20"/>
                </w:rPr>
                <w:t>вступает</w:t>
              </w:r>
            </w:hyperlink>
            <w:r>
              <w:rPr>
                <w:rFonts w:ascii="Arial" w:hAnsi="Arial" w:cs="Arial"/>
                <w:color w:val="392C69"/>
                <w:sz w:val="20"/>
                <w:szCs w:val="20"/>
              </w:rPr>
              <w:t xml:space="preserve"> в силу с 01.01.2021. До этой даты можно </w:t>
            </w:r>
            <w:hyperlink w:anchor="Par13" w:history="1">
              <w:r>
                <w:rPr>
                  <w:rFonts w:ascii="Arial" w:hAnsi="Arial" w:cs="Arial"/>
                  <w:color w:val="0000FF"/>
                  <w:sz w:val="20"/>
                  <w:szCs w:val="20"/>
                </w:rPr>
                <w:t>применять</w:t>
              </w:r>
            </w:hyperlink>
            <w:r>
              <w:rPr>
                <w:rFonts w:ascii="Arial" w:hAnsi="Arial" w:cs="Arial"/>
                <w:color w:val="392C69"/>
                <w:sz w:val="20"/>
                <w:szCs w:val="20"/>
              </w:rPr>
              <w:t xml:space="preserve"> ранее установленные формы.</w:t>
            </w:r>
          </w:p>
        </w:tc>
      </w:tr>
    </w:tbl>
    <w:p w:rsidR="00DC72A0" w:rsidRDefault="00DC72A0" w:rsidP="00DC72A0">
      <w:pPr>
        <w:autoSpaceDE w:val="0"/>
        <w:autoSpaceDN w:val="0"/>
        <w:adjustRightInd w:val="0"/>
        <w:spacing w:before="260" w:after="0" w:line="240" w:lineRule="auto"/>
        <w:ind w:firstLine="540"/>
        <w:jc w:val="both"/>
        <w:rPr>
          <w:rFonts w:ascii="Arial" w:hAnsi="Arial" w:cs="Arial"/>
          <w:sz w:val="20"/>
          <w:szCs w:val="20"/>
        </w:rPr>
      </w:pPr>
      <w:bookmarkStart w:id="13" w:name="Par227"/>
      <w:bookmarkEnd w:id="13"/>
      <w:r>
        <w:rPr>
          <w:rFonts w:ascii="Arial" w:hAnsi="Arial" w:cs="Arial"/>
          <w:sz w:val="20"/>
          <w:szCs w:val="20"/>
        </w:rPr>
        <w:t>56. Форма акта, заключения устанавливается Министерством финансов Российской Федерации.</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ar59" w:history="1">
        <w:r>
          <w:rPr>
            <w:rFonts w:ascii="Arial" w:hAnsi="Arial" w:cs="Arial"/>
            <w:color w:val="0000FF"/>
            <w:sz w:val="20"/>
            <w:szCs w:val="20"/>
          </w:rPr>
          <w:t>пунктом 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ar230" w:history="1">
        <w:r>
          <w:rPr>
            <w:rFonts w:ascii="Arial" w:hAnsi="Arial" w:cs="Arial"/>
            <w:color w:val="0000FF"/>
            <w:sz w:val="20"/>
            <w:szCs w:val="20"/>
          </w:rPr>
          <w:t>пунктом 59</w:t>
        </w:r>
      </w:hyperlink>
      <w:r>
        <w:rPr>
          <w:rFonts w:ascii="Arial" w:hAnsi="Arial" w:cs="Arial"/>
          <w:sz w:val="20"/>
          <w:szCs w:val="20"/>
        </w:rPr>
        <w:t xml:space="preserve"> стандарта.</w:t>
      </w:r>
    </w:p>
    <w:p w:rsidR="00DC72A0" w:rsidRDefault="00DC72A0" w:rsidP="00DC72A0">
      <w:pPr>
        <w:autoSpaceDE w:val="0"/>
        <w:autoSpaceDN w:val="0"/>
        <w:adjustRightInd w:val="0"/>
        <w:spacing w:before="200" w:after="0" w:line="240" w:lineRule="auto"/>
        <w:ind w:firstLine="540"/>
        <w:jc w:val="both"/>
        <w:rPr>
          <w:rFonts w:ascii="Arial" w:hAnsi="Arial" w:cs="Arial"/>
          <w:sz w:val="20"/>
          <w:szCs w:val="20"/>
        </w:rPr>
      </w:pPr>
      <w:bookmarkStart w:id="14" w:name="Par230"/>
      <w:bookmarkEnd w:id="14"/>
      <w:r>
        <w:rPr>
          <w:rFonts w:ascii="Arial" w:hAnsi="Arial" w:cs="Arial"/>
          <w:sz w:val="20"/>
          <w:szCs w:val="20"/>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ar158" w:history="1">
        <w:r>
          <w:rPr>
            <w:rFonts w:ascii="Arial" w:hAnsi="Arial" w:cs="Arial"/>
            <w:color w:val="0000FF"/>
            <w:sz w:val="20"/>
            <w:szCs w:val="20"/>
          </w:rPr>
          <w:t>пунктами 36</w:t>
        </w:r>
      </w:hyperlink>
      <w:r>
        <w:rPr>
          <w:rFonts w:ascii="Arial" w:hAnsi="Arial" w:cs="Arial"/>
          <w:sz w:val="20"/>
          <w:szCs w:val="20"/>
        </w:rPr>
        <w:t xml:space="preserve"> и </w:t>
      </w:r>
      <w:hyperlink w:anchor="Par173" w:history="1">
        <w:r>
          <w:rPr>
            <w:rFonts w:ascii="Arial" w:hAnsi="Arial" w:cs="Arial"/>
            <w:color w:val="0000FF"/>
            <w:sz w:val="20"/>
            <w:szCs w:val="20"/>
          </w:rPr>
          <w:t>42</w:t>
        </w:r>
      </w:hyperlink>
      <w:r>
        <w:rPr>
          <w:rFonts w:ascii="Arial" w:hAnsi="Arial" w:cs="Arial"/>
          <w:sz w:val="20"/>
          <w:szCs w:val="20"/>
        </w:rPr>
        <w:t xml:space="preserve"> стандарта) в </w:t>
      </w:r>
      <w:r>
        <w:rPr>
          <w:rFonts w:ascii="Arial" w:hAnsi="Arial" w:cs="Arial"/>
          <w:sz w:val="20"/>
          <w:szCs w:val="20"/>
        </w:rPr>
        <w:lastRenderedPageBreak/>
        <w:t xml:space="preserve">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8" w:history="1">
        <w:r>
          <w:rPr>
            <w:rFonts w:ascii="Arial" w:hAnsi="Arial" w:cs="Arial"/>
            <w:color w:val="0000FF"/>
            <w:sz w:val="20"/>
            <w:szCs w:val="20"/>
          </w:rPr>
          <w:t>стандартом</w:t>
        </w:r>
      </w:hyperlink>
      <w:r>
        <w:rPr>
          <w:rFonts w:ascii="Arial" w:hAnsi="Arial" w:cs="Arial"/>
          <w:sz w:val="20"/>
          <w:szCs w:val="20"/>
        </w:rPr>
        <w:t xml:space="preserve"> внутреннего государственного (муниципального) финансового контроля о реализации результатов проверок, ревизий и обследований.</w:t>
      </w:r>
    </w:p>
    <w:p w:rsidR="00F14D67" w:rsidRDefault="00DC72A0">
      <w:bookmarkStart w:id="15" w:name="_GoBack"/>
      <w:bookmarkEnd w:id="15"/>
    </w:p>
    <w:sectPr w:rsidR="00F14D67" w:rsidSect="008D051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87"/>
    <w:rsid w:val="00470087"/>
    <w:rsid w:val="00735BDF"/>
    <w:rsid w:val="007F6270"/>
    <w:rsid w:val="00DC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D0915ADB10CFE5967457F1AD7694791CA66AA46B551B9527DE3D3F8911AD9AB40880AA69A8C63714A99456CA7945BCF15A6293D3B0EA5SFW9J" TargetMode="External"/><Relationship Id="rId3" Type="http://schemas.openxmlformats.org/officeDocument/2006/relationships/settings" Target="settings.xml"/><Relationship Id="rId7" Type="http://schemas.openxmlformats.org/officeDocument/2006/relationships/hyperlink" Target="consultantplus://offline/ref=4E2D0915ADB10CFE5967457F1AD7694791C96DA640B751B9527DE3D3F8911AD9AB40880FAF9E8E6A2310894125F39C44CB0BB92B233BS0WE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2D0915ADB10CFE5967457F1AD7694791CB6AA747B151B9527DE3D3F8911AD9AB40880AA69A8C63754A99456CA7945BCF15A6293D3B0EA5SFW9J" TargetMode="External"/><Relationship Id="rId5" Type="http://schemas.openxmlformats.org/officeDocument/2006/relationships/hyperlink" Target="consultantplus://offline/ref=4E2D0915ADB10CFE5967457F1AD7694791C96DA640B751B9527DE3D3F8911AD9AB40880EAE9A8E6A2310894125F39C44CB0BB92B233BS0W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5749</Words>
  <Characters>32771</Characters>
  <Application>Microsoft Office Word</Application>
  <DocSecurity>0</DocSecurity>
  <Lines>273</Lines>
  <Paragraphs>76</Paragraphs>
  <ScaleCrop>false</ScaleCrop>
  <Company>diakov.net</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2020-10-15T09:22:00Z</dcterms:created>
  <dcterms:modified xsi:type="dcterms:W3CDTF">2020-10-15T09:22:00Z</dcterms:modified>
</cp:coreProperties>
</file>