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78015">
      <w:pPr>
        <w:autoSpaceDE w:val="0"/>
        <w:autoSpaceDN w:val="0"/>
        <w:adjustRightInd w:val="0"/>
        <w:ind w:firstLine="709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Квалификационные</w:t>
      </w:r>
      <w:r>
        <w:rPr>
          <w:rFonts w:hint="default"/>
          <w:b/>
          <w:bCs/>
          <w:sz w:val="28"/>
          <w:szCs w:val="28"/>
          <w:lang w:val="ru-RU"/>
        </w:rPr>
        <w:t xml:space="preserve"> требования старшего контролера-ревизора</w:t>
      </w:r>
    </w:p>
    <w:p w14:paraId="32125C08">
      <w:pPr>
        <w:autoSpaceDE w:val="0"/>
        <w:autoSpaceDN w:val="0"/>
        <w:adjustRightInd w:val="0"/>
        <w:ind w:firstLine="709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5DAD36E2">
      <w:pPr>
        <w:autoSpaceDE w:val="0"/>
        <w:autoSpaceDN w:val="0"/>
        <w:adjustRightInd w:val="0"/>
        <w:ind w:firstLine="709"/>
        <w:jc w:val="both"/>
      </w:pPr>
      <w:r>
        <w:rPr>
          <w:lang w:val="ru-RU"/>
        </w:rPr>
        <w:t>И</w:t>
      </w:r>
      <w:r>
        <w:t xml:space="preserve">меть высшее образование по направлению(-ям) подготовки (специальности(-ям)) профессионального образования «Экономика и управление», «Экономика», «Финансы  и  кредит», «Бухгалтерский учет, анализ и аудит», «Экономика  и  бухгалтерский  учет  (по  отраслям)», или иному направлению подготовки (специальности), для которого </w:t>
      </w:r>
      <w:r>
        <w:rPr>
          <w:bCs/>
        </w:rPr>
        <w:t>законодательством об образовании Российской Федерации установлено соответствие данному(-ым) направлению(-ям) подготовки (специальности(-м)), указанному в предыдущих перечнях профессий, специальностей и направлений подготовки</w:t>
      </w:r>
      <w:r>
        <w:t xml:space="preserve">. </w:t>
      </w:r>
    </w:p>
    <w:p w14:paraId="3E83033C">
      <w:pPr>
        <w:ind w:firstLine="709"/>
        <w:jc w:val="both"/>
      </w:pPr>
      <w:r>
        <w:t>2.2.2. Гражданский служащий, замещающий должность старшего контролера-ревизора, должен обладать следующими профессиональными знаниями в сфере законодательства Российской Федерации и Республики Тыва:</w:t>
      </w:r>
    </w:p>
    <w:p w14:paraId="37FFC4D4">
      <w:pPr>
        <w:autoSpaceDE w:val="0"/>
        <w:autoSpaceDN w:val="0"/>
        <w:adjustRightInd w:val="0"/>
        <w:ind w:firstLine="709"/>
        <w:jc w:val="both"/>
      </w:pPr>
      <w:r>
        <w:t>1) бюджетного законодательства;</w:t>
      </w:r>
    </w:p>
    <w:p w14:paraId="25A327CD">
      <w:pPr>
        <w:autoSpaceDE w:val="0"/>
        <w:autoSpaceDN w:val="0"/>
        <w:adjustRightInd w:val="0"/>
        <w:ind w:firstLine="709"/>
        <w:jc w:val="both"/>
      </w:pPr>
      <w:r>
        <w:t>2) трудового законодательства;</w:t>
      </w:r>
    </w:p>
    <w:p w14:paraId="58D67C5D">
      <w:pPr>
        <w:autoSpaceDE w:val="0"/>
        <w:autoSpaceDN w:val="0"/>
        <w:adjustRightInd w:val="0"/>
        <w:ind w:firstLine="709"/>
        <w:jc w:val="both"/>
      </w:pPr>
      <w:r>
        <w:t>3) гражданского законодательства;</w:t>
      </w:r>
    </w:p>
    <w:p w14:paraId="090562D8">
      <w:pPr>
        <w:autoSpaceDE w:val="0"/>
        <w:autoSpaceDN w:val="0"/>
        <w:adjustRightInd w:val="0"/>
        <w:ind w:firstLine="709"/>
        <w:jc w:val="both"/>
      </w:pPr>
      <w:r>
        <w:t>4) административного законодательства;</w:t>
      </w:r>
    </w:p>
    <w:p w14:paraId="7D87146F">
      <w:pPr>
        <w:autoSpaceDE w:val="0"/>
        <w:autoSpaceDN w:val="0"/>
        <w:adjustRightInd w:val="0"/>
        <w:ind w:firstLine="709"/>
        <w:jc w:val="both"/>
      </w:pPr>
      <w:r>
        <w:t>5) законодательства в сфере закупок товаров, работ, услуг для обеспечения государственных нужд;</w:t>
      </w:r>
    </w:p>
    <w:p w14:paraId="5FCF1D76">
      <w:pPr>
        <w:autoSpaceDE w:val="0"/>
        <w:autoSpaceDN w:val="0"/>
        <w:adjustRightInd w:val="0"/>
        <w:ind w:firstLine="709"/>
        <w:jc w:val="both"/>
      </w:pPr>
      <w:r>
        <w:t>6) по защите государственной тайны, сведений банковской, коммерческой, служебной информации и персональных данных;</w:t>
      </w:r>
    </w:p>
    <w:p w14:paraId="0F5EE539">
      <w:pPr>
        <w:autoSpaceDE w:val="0"/>
        <w:autoSpaceDN w:val="0"/>
        <w:adjustRightInd w:val="0"/>
        <w:ind w:firstLine="709"/>
        <w:jc w:val="both"/>
      </w:pPr>
      <w:r>
        <w:t>7) законодательства в сфере противодействия коррупции;</w:t>
      </w:r>
    </w:p>
    <w:p w14:paraId="535DDBC5">
      <w:pPr>
        <w:autoSpaceDE w:val="0"/>
        <w:autoSpaceDN w:val="0"/>
        <w:adjustRightInd w:val="0"/>
        <w:ind w:firstLine="709"/>
        <w:jc w:val="both"/>
      </w:pPr>
      <w:r>
        <w:t>8) нормативных правовых актов, касающиеся деятельности Службы.</w:t>
      </w:r>
    </w:p>
    <w:p w14:paraId="3B7E62A9">
      <w:pPr>
        <w:autoSpaceDE w:val="0"/>
        <w:autoSpaceDN w:val="0"/>
        <w:adjustRightInd w:val="0"/>
        <w:spacing w:before="120"/>
        <w:ind w:firstLine="709"/>
        <w:jc w:val="both"/>
      </w:pPr>
      <w:r>
        <w:t>2.3. Иные профессиональные знания старшего контролера-ревизора должны включать:</w:t>
      </w:r>
    </w:p>
    <w:p w14:paraId="236BF6C7">
      <w:pPr>
        <w:autoSpaceDE w:val="0"/>
        <w:autoSpaceDN w:val="0"/>
        <w:adjustRightInd w:val="0"/>
        <w:ind w:firstLine="709"/>
        <w:jc w:val="both"/>
      </w:pPr>
      <w:r>
        <w:t>1) служебный распорядок, правила деловой этики, порядок работы со служебной информацией, основы делопроизводства;</w:t>
      </w:r>
    </w:p>
    <w:p w14:paraId="083B57A3">
      <w:pPr>
        <w:pStyle w:val="4"/>
        <w:ind w:firstLine="709"/>
        <w:jc w:val="both"/>
      </w:pPr>
      <w:r>
        <w:t xml:space="preserve">2) основные функции и структура Службы по финансово-бюджетному надзору Республики Тыва как органа исполнительной власти Республики Тыва; </w:t>
      </w:r>
    </w:p>
    <w:p w14:paraId="040E6331">
      <w:pPr>
        <w:pStyle w:val="4"/>
        <w:ind w:firstLine="709"/>
        <w:jc w:val="both"/>
      </w:pPr>
      <w:r>
        <w:t xml:space="preserve">3) основные задачи и полномочия органа исполнительной власти Республики Тыва в финансово-бюджетной сфере; </w:t>
      </w:r>
    </w:p>
    <w:p w14:paraId="7BF7D420">
      <w:pPr>
        <w:pStyle w:val="5"/>
        <w:tabs>
          <w:tab w:val="left" w:pos="0"/>
        </w:tabs>
        <w:ind w:left="0" w:firstLine="709"/>
        <w:rPr>
          <w:rFonts w:ascii="Times New Roman" w:hAnsi="Times New Roman" w:eastAsia="TimesNewRomanPSMT"/>
          <w:szCs w:val="24"/>
        </w:rPr>
      </w:pPr>
      <w:r>
        <w:rPr>
          <w:rFonts w:ascii="Times New Roman" w:hAnsi="Times New Roman" w:eastAsia="TimesNewRomanPSMT"/>
          <w:szCs w:val="24"/>
        </w:rPr>
        <w:t>4) методы управления аппаратом государственного органа;</w:t>
      </w:r>
    </w:p>
    <w:p w14:paraId="7A04E734">
      <w:pPr>
        <w:autoSpaceDE w:val="0"/>
        <w:autoSpaceDN w:val="0"/>
        <w:adjustRightInd w:val="0"/>
        <w:ind w:firstLine="709"/>
        <w:jc w:val="both"/>
      </w:pPr>
      <w:r>
        <w:t xml:space="preserve">5) </w:t>
      </w:r>
      <w:r>
        <w:rPr>
          <w:color w:val="000000"/>
        </w:rPr>
        <w:t>применение современных информационно-коммуникационных технологий в государственных органах, включая использование возможностей межведомственного электронного документооборота,</w:t>
      </w:r>
      <w:r>
        <w:t xml:space="preserve"> общие вопросы в области обеспечения информационной безопасности;</w:t>
      </w:r>
    </w:p>
    <w:p w14:paraId="6B6741BA">
      <w:pPr>
        <w:pStyle w:val="4"/>
        <w:ind w:firstLine="709"/>
        <w:jc w:val="both"/>
      </w:pPr>
      <w:r>
        <w:t xml:space="preserve">6) знание основ подготовки, переподготовки и повышения квалификации специалистов; </w:t>
      </w:r>
    </w:p>
    <w:p w14:paraId="7B604B77">
      <w:pPr>
        <w:pStyle w:val="6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eastAsia="TimesNewRomanPSMT"/>
          <w:sz w:val="24"/>
          <w:szCs w:val="24"/>
          <w:lang w:val="ru-RU"/>
        </w:rPr>
      </w:pPr>
      <w:r>
        <w:rPr>
          <w:rFonts w:ascii="Times New Roman" w:hAnsi="Times New Roman" w:eastAsia="TimesNewRomanPSMT"/>
          <w:sz w:val="24"/>
          <w:szCs w:val="24"/>
          <w:lang w:val="ru-RU"/>
        </w:rPr>
        <w:t>7) порядок служебного взаимодействия в пределах своей компетенции с органами государственной власти Российской Федерации и субъектов Российской Федерации;</w:t>
      </w:r>
    </w:p>
    <w:p w14:paraId="72DCAB32">
      <w:pPr>
        <w:autoSpaceDE w:val="0"/>
        <w:autoSpaceDN w:val="0"/>
        <w:adjustRightInd w:val="0"/>
        <w:ind w:firstLine="709"/>
        <w:jc w:val="both"/>
      </w:pPr>
      <w:r>
        <w:t>8) правила и нормы охраны труда, техники безопасности и противопожарной защиты;</w:t>
      </w:r>
    </w:p>
    <w:p w14:paraId="30673ED0">
      <w:pPr>
        <w:pStyle w:val="4"/>
        <w:ind w:firstLine="709"/>
        <w:jc w:val="both"/>
      </w:pPr>
      <w:r>
        <w:t xml:space="preserve">9) основные принципы управления и распоряжения имуществом органов исполнительной власти Республики Тыва и подведомственных им организаций; </w:t>
      </w:r>
    </w:p>
    <w:p w14:paraId="642754C4">
      <w:pPr>
        <w:autoSpaceDE w:val="0"/>
        <w:autoSpaceDN w:val="0"/>
        <w:adjustRightInd w:val="0"/>
        <w:ind w:firstLine="709"/>
        <w:jc w:val="both"/>
      </w:pPr>
      <w:r>
        <w:t>10) порядок ведения административного производства по делам об административных правонарушениях;</w:t>
      </w:r>
    </w:p>
    <w:p w14:paraId="67A23E8E">
      <w:pPr>
        <w:autoSpaceDE w:val="0"/>
        <w:autoSpaceDN w:val="0"/>
        <w:adjustRightInd w:val="0"/>
        <w:ind w:firstLine="709"/>
        <w:jc w:val="both"/>
      </w:pPr>
      <w:r>
        <w:t xml:space="preserve">11) основные направления и приоритеты финансово-бюджетной политики; </w:t>
      </w:r>
    </w:p>
    <w:p w14:paraId="21C5D8C7">
      <w:pPr>
        <w:pStyle w:val="4"/>
        <w:ind w:firstLine="709"/>
        <w:jc w:val="both"/>
      </w:pPr>
      <w:r>
        <w:t xml:space="preserve">12) организация и функционирование бюджетной системы Российской Федерации; </w:t>
      </w:r>
    </w:p>
    <w:p w14:paraId="04D91B70">
      <w:pPr>
        <w:ind w:firstLine="720"/>
        <w:jc w:val="both"/>
      </w:pPr>
      <w:r>
        <w:t>13) основы бюджетного процесса и межбюджетных отношений в Российской Федерации;</w:t>
      </w:r>
    </w:p>
    <w:p w14:paraId="2E23B1C3">
      <w:pPr>
        <w:ind w:firstLine="720"/>
        <w:jc w:val="both"/>
      </w:pPr>
      <w:r>
        <w:t>14) особенности бюджетных полномочий участников бюджетного процесса;</w:t>
      </w:r>
    </w:p>
    <w:p w14:paraId="065F120E">
      <w:pPr>
        <w:pStyle w:val="6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eastAsia="TimesNewRomanPSMT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NewRomanPSMT"/>
          <w:color w:val="000000"/>
          <w:sz w:val="24"/>
          <w:szCs w:val="24"/>
          <w:lang w:val="ru-RU"/>
        </w:rPr>
        <w:t>15) порядок предоставления межбюджетных трансфертов, субсидий учреждениям и юридическим лицам, бюджетных инвестиций;</w:t>
      </w:r>
    </w:p>
    <w:p w14:paraId="1B5846AB">
      <w:pPr>
        <w:ind w:firstLine="709"/>
        <w:jc w:val="both"/>
      </w:pPr>
      <w:r>
        <w:t xml:space="preserve">16) </w:t>
      </w:r>
      <w:r>
        <w:rPr>
          <w:rFonts w:eastAsia="TimesNewRomanPSMT"/>
          <w:color w:val="000000"/>
        </w:rPr>
        <w:t>порядок ведения бухгалтерского учета в государственных учреждениях и иных организациях;</w:t>
      </w:r>
    </w:p>
    <w:p w14:paraId="3CFF2401">
      <w:pPr>
        <w:pStyle w:val="6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eastAsia="TimesNewRomanPSMT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NewRomanPSMT"/>
          <w:color w:val="000000"/>
          <w:sz w:val="24"/>
          <w:szCs w:val="24"/>
          <w:lang w:val="ru-RU"/>
        </w:rPr>
        <w:t>17) полномочия органов государственного (муниципального) финансового контроля;</w:t>
      </w:r>
    </w:p>
    <w:p w14:paraId="7897F450">
      <w:pPr>
        <w:pStyle w:val="6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eastAsia="TimesNewRomanPSMT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NewRomanPSMT"/>
          <w:color w:val="000000"/>
          <w:sz w:val="24"/>
          <w:szCs w:val="24"/>
          <w:lang w:val="ru-RU"/>
        </w:rPr>
        <w:t>18) методы государственного финансового контроля;</w:t>
      </w:r>
    </w:p>
    <w:p w14:paraId="722C390F">
      <w:pPr>
        <w:pStyle w:val="6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eastAsia="TimesNewRomanPSMT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NewRomanPSMT"/>
          <w:color w:val="000000"/>
          <w:sz w:val="24"/>
          <w:szCs w:val="24"/>
          <w:lang w:val="ru-RU"/>
        </w:rPr>
        <w:t>19) виды контрольных мероприятий, виды и способы контрольных действий;</w:t>
      </w:r>
    </w:p>
    <w:p w14:paraId="51FF6A99">
      <w:pPr>
        <w:pStyle w:val="6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eastAsia="TimesNewRomanPSMT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NewRomanPSMT"/>
          <w:color w:val="000000"/>
          <w:sz w:val="24"/>
          <w:szCs w:val="24"/>
          <w:lang w:val="ru-RU"/>
        </w:rPr>
        <w:t>20) виды бюджетных нарушений и бюджетные меры принуждения, применяемые за их совершение;</w:t>
      </w:r>
    </w:p>
    <w:p w14:paraId="4B1A2C00">
      <w:pPr>
        <w:autoSpaceDE w:val="0"/>
        <w:autoSpaceDN w:val="0"/>
        <w:adjustRightInd w:val="0"/>
        <w:ind w:firstLine="709"/>
        <w:jc w:val="both"/>
      </w:pPr>
      <w:r>
        <w:t>21) основы государственного регулирования отношений в области формирования, размещения и выполнения закупок товаров, работ, услуг для обеспечения государственных и муниципальных нужд;</w:t>
      </w:r>
    </w:p>
    <w:p w14:paraId="430CD809">
      <w:pPr>
        <w:autoSpaceDE w:val="0"/>
        <w:autoSpaceDN w:val="0"/>
        <w:adjustRightInd w:val="0"/>
        <w:ind w:firstLine="709"/>
        <w:jc w:val="both"/>
      </w:pPr>
      <w:r>
        <w:t>22) инструменты и методы математического, экономического, финансового, статистического анализа, финансового менеджмента;</w:t>
      </w:r>
    </w:p>
    <w:p w14:paraId="4ABD6314">
      <w:pPr>
        <w:autoSpaceDE w:val="0"/>
        <w:autoSpaceDN w:val="0"/>
        <w:adjustRightInd w:val="0"/>
        <w:ind w:firstLine="709"/>
        <w:jc w:val="both"/>
      </w:pPr>
      <w:r>
        <w:t>23) методы стратегического управления, планирования и прогнозирования.</w:t>
      </w:r>
    </w:p>
    <w:p w14:paraId="52F6CC2F">
      <w:bookmarkStart w:id="0" w:name="_GoBack"/>
      <w:bookmarkEnd w:id="0"/>
    </w:p>
    <w:sectPr>
      <w:pgSz w:w="11906" w:h="16838"/>
      <w:pgMar w:top="1134" w:right="567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5">
    <w:name w:val="Абзац списка1"/>
    <w:basedOn w:val="1"/>
    <w:uiPriority w:val="0"/>
    <w:pPr>
      <w:ind w:left="720"/>
      <w:jc w:val="both"/>
    </w:pPr>
    <w:rPr>
      <w:rFonts w:ascii="Calibri" w:hAnsi="Calibri" w:eastAsia="Calibri"/>
      <w:szCs w:val="22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  <w:jc w:val="both"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2025-11-13T04:49:11Z</dcterms:created>
  <dc:creator>User</dc:creator>
  <cp:lastModifiedBy>User</cp:lastModifiedBy>
  <dcterms:modified xsi:type="dcterms:W3CDTF">2025-11-13T04:52:43Z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A8CB7901E31145EE9860242AF194146C_12</vt:lpwstr>
  </property>
</Properties>
</file>