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r>
        <w:rPr>
          <w:rFonts w:ascii="Arial" w:eastAsiaTheme="minorHAnsi" w:hAnsi="Arial" w:cs="Arial"/>
          <w:color w:val="auto"/>
          <w:sz w:val="20"/>
          <w:szCs w:val="20"/>
        </w:rPr>
        <w:t>ПОСТАНОВЛЕНИЕ</w:t>
      </w: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27 февраля 2020 г. N 208</w:t>
      </w:r>
    </w:p>
    <w:bookmarkEnd w:id="0"/>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ФЕДЕРАЛЬНОГО СТАНДАРТА</w:t>
      </w: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ГОСУДАРСТВЕННОГО (МУНИЦИПАЛЬНОГО) ФИНАНСОВОГО</w:t>
      </w: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"ПЛАНИРОВАНИЕ ПРОВЕРОК, РЕВИЗИЙ И ОБСЛЕДОВАНИЙ"</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пунктом 3 статьи 269.2</w:t>
        </w:r>
      </w:hyperlink>
      <w:r>
        <w:rPr>
          <w:rFonts w:ascii="Arial" w:hAnsi="Arial" w:cs="Arial"/>
          <w:sz w:val="20"/>
          <w:szCs w:val="20"/>
        </w:rPr>
        <w:t xml:space="preserve"> Бюджетного кодекса Российской Федерации Правительство Российской Федерации постановляет:</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w:t>
      </w:r>
      <w:hyperlink w:anchor="Par26" w:history="1">
        <w:r>
          <w:rPr>
            <w:rFonts w:ascii="Arial" w:hAnsi="Arial" w:cs="Arial"/>
            <w:color w:val="0000FF"/>
            <w:sz w:val="20"/>
            <w:szCs w:val="20"/>
          </w:rPr>
          <w:t>стандарт</w:t>
        </w:r>
      </w:hyperlink>
      <w:r>
        <w:rPr>
          <w:rFonts w:ascii="Arial" w:hAnsi="Arial" w:cs="Arial"/>
          <w:sz w:val="20"/>
          <w:szCs w:val="20"/>
        </w:rPr>
        <w:t xml:space="preserve"> внутреннего государственного (муниципального) финансового контроля "Планирование проверок, ревизий и обследований".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Настоящее постановление вступает в силу с 1 июля 2020 г.</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6D4220" w:rsidRDefault="006D4220" w:rsidP="006D422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D4220" w:rsidRDefault="006D4220" w:rsidP="006D422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6D4220" w:rsidRDefault="006D4220" w:rsidP="006D422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6D4220" w:rsidRDefault="006D4220" w:rsidP="006D422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D4220" w:rsidRDefault="006D4220" w:rsidP="006D422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февраля 2020 г. N 208</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26"/>
      <w:bookmarkEnd w:id="1"/>
      <w:r>
        <w:rPr>
          <w:rFonts w:ascii="Arial" w:eastAsiaTheme="minorHAnsi" w:hAnsi="Arial" w:cs="Arial"/>
          <w:color w:val="auto"/>
          <w:sz w:val="20"/>
          <w:szCs w:val="20"/>
        </w:rPr>
        <w:t>ФЕДЕРАЛЬНЫЙ СТАНДАРТ</w:t>
      </w: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ГОСУДАРСТВЕННОГО (МУНИЦИПАЛЬНОГО) ФИНАНСОВОГО</w:t>
      </w: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"ПЛАНИРОВАНИЕ ПРОВЕРОК, РЕВИЗИЙ И ОБСЛЕДОВАНИЙ"</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темы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проверяемый период;</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(дата) начала проведения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контроля вправе утвердить форму плана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На стадии формирования плана контрольных мероприятий составляется проект плана контрольных мероприятий с применением </w:t>
      </w:r>
      <w:proofErr w:type="gramStart"/>
      <w:r>
        <w:rPr>
          <w:rFonts w:ascii="Arial" w:hAnsi="Arial" w:cs="Arial"/>
          <w:sz w:val="20"/>
          <w:szCs w:val="20"/>
        </w:rPr>
        <w:t>риск-ориентированного</w:t>
      </w:r>
      <w:proofErr w:type="gramEnd"/>
      <w:r>
        <w:rPr>
          <w:rFonts w:ascii="Arial" w:hAnsi="Arial" w:cs="Arial"/>
          <w:sz w:val="20"/>
          <w:szCs w:val="20"/>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ar73" w:history="1">
        <w:r>
          <w:rPr>
            <w:rFonts w:ascii="Arial" w:hAnsi="Arial" w:cs="Arial"/>
            <w:color w:val="0000FF"/>
            <w:sz w:val="20"/>
            <w:szCs w:val="20"/>
          </w:rPr>
          <w:t>пунктом 11</w:t>
        </w:r>
      </w:hyperlink>
      <w:r>
        <w:rPr>
          <w:rFonts w:ascii="Arial" w:hAnsi="Arial" w:cs="Arial"/>
          <w:sz w:val="20"/>
          <w:szCs w:val="20"/>
        </w:rPr>
        <w:t xml:space="preserve"> стандарта категориям риска.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Планирование контрольных мероприятий</w:t>
      </w:r>
    </w:p>
    <w:p w:rsidR="006D4220" w:rsidRDefault="006D4220" w:rsidP="006D4220">
      <w:pPr>
        <w:autoSpaceDE w:val="0"/>
        <w:autoSpaceDN w:val="0"/>
        <w:adjustRightInd w:val="0"/>
        <w:spacing w:after="0" w:line="240" w:lineRule="auto"/>
        <w:jc w:val="both"/>
        <w:rPr>
          <w:rFonts w:ascii="Arial" w:hAnsi="Arial" w:cs="Arial"/>
          <w:sz w:val="20"/>
          <w:szCs w:val="20"/>
        </w:rPr>
      </w:pPr>
    </w:p>
    <w:p w:rsidR="006D4220" w:rsidRDefault="006D4220" w:rsidP="006D422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Планирование контрольных мероприятий включает следующие этапы:</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формирование исходных данных для составления проекта плана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составление проекта плана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утверждение плана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Формирование исходных данных для составления проекта плана контрольных мероприятий включает:</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сбор и анализ информации об объектах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определение объектов контроля и тем контрольных мероприятий, включаемых в проект плана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Pr>
          <w:rFonts w:ascii="Arial" w:hAnsi="Arial" w:cs="Arial"/>
          <w:sz w:val="20"/>
          <w:szCs w:val="20"/>
        </w:rPr>
        <w:t>предусматривающего</w:t>
      </w:r>
      <w:proofErr w:type="gramEnd"/>
      <w:r>
        <w:rPr>
          <w:rFonts w:ascii="Arial" w:hAnsi="Arial" w:cs="Arial"/>
          <w:sz w:val="20"/>
          <w:szCs w:val="20"/>
        </w:rPr>
        <w:t xml:space="preserve"> в том числе автоматизированную проверку данных на </w:t>
      </w:r>
      <w:proofErr w:type="spellStart"/>
      <w:r>
        <w:rPr>
          <w:rFonts w:ascii="Arial" w:hAnsi="Arial" w:cs="Arial"/>
          <w:sz w:val="20"/>
          <w:szCs w:val="20"/>
        </w:rPr>
        <w:t>непревышение</w:t>
      </w:r>
      <w:proofErr w:type="spellEnd"/>
      <w:r>
        <w:rPr>
          <w:rFonts w:ascii="Arial" w:hAnsi="Arial" w:cs="Arial"/>
          <w:sz w:val="20"/>
          <w:szCs w:val="20"/>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определении значения критерия "вероятность" используется следующая информация: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значения показателей качества финансового менеджмента объекта контроля, определяемые с учетом </w:t>
      </w:r>
      <w:proofErr w:type="gramStart"/>
      <w:r>
        <w:rPr>
          <w:rFonts w:ascii="Arial" w:hAnsi="Arial" w:cs="Arial"/>
          <w:sz w:val="20"/>
          <w:szCs w:val="20"/>
        </w:rPr>
        <w:t>результатов проведения мониторинга качества финансового менеджмента</w:t>
      </w:r>
      <w:proofErr w:type="gramEnd"/>
      <w:r>
        <w:rPr>
          <w:rFonts w:ascii="Arial" w:hAnsi="Arial" w:cs="Arial"/>
          <w:sz w:val="20"/>
          <w:szCs w:val="20"/>
        </w:rPr>
        <w:t xml:space="preserve"> в порядке, принятом в целях реализации положений </w:t>
      </w:r>
      <w:hyperlink r:id="rId6" w:history="1">
        <w:r>
          <w:rPr>
            <w:rFonts w:ascii="Arial" w:hAnsi="Arial" w:cs="Arial"/>
            <w:color w:val="0000FF"/>
            <w:sz w:val="20"/>
            <w:szCs w:val="20"/>
          </w:rPr>
          <w:t>статьи 160.2-1</w:t>
        </w:r>
      </w:hyperlink>
      <w:r>
        <w:rPr>
          <w:rFonts w:ascii="Arial" w:hAnsi="Arial" w:cs="Arial"/>
          <w:sz w:val="20"/>
          <w:szCs w:val="20"/>
        </w:rPr>
        <w:t xml:space="preserve"> Бюджетного кодекса Российской Федерации;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иная информация, необходимая при определении значения критерия "вероятность", установленная ведомственным стандартом органа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определении значения критерия "существенность" используется следующая информация: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7" w:history="1">
        <w:r>
          <w:rPr>
            <w:rFonts w:ascii="Arial" w:hAnsi="Arial" w:cs="Arial"/>
            <w:color w:val="0000FF"/>
            <w:sz w:val="20"/>
            <w:szCs w:val="20"/>
          </w:rPr>
          <w:t>пунктов 2</w:t>
        </w:r>
      </w:hyperlink>
      <w:r>
        <w:rPr>
          <w:rFonts w:ascii="Arial" w:hAnsi="Arial" w:cs="Arial"/>
          <w:sz w:val="20"/>
          <w:szCs w:val="20"/>
        </w:rPr>
        <w:t xml:space="preserve"> и </w:t>
      </w:r>
      <w:hyperlink r:id="rId8" w:history="1">
        <w:r>
          <w:rPr>
            <w:rFonts w:ascii="Arial" w:hAnsi="Arial" w:cs="Arial"/>
            <w:color w:val="0000FF"/>
            <w:sz w:val="20"/>
            <w:szCs w:val="20"/>
          </w:rPr>
          <w:t>9 части 1 статьи 93</w:t>
        </w:r>
      </w:hyperlink>
      <w:r>
        <w:rPr>
          <w:rFonts w:ascii="Arial" w:hAnsi="Arial" w:cs="Arial"/>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условия об исполнении контракта по этапам;</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условия о выплате аванса;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контракта по результатам повторной закупки при условии расторжения первоначального контракта по соглашению сторон;</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иная информация, необходимая при определении значения критерия "существенность", установленная ведомственным стандартом органа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bookmarkStart w:id="2" w:name="Par73"/>
      <w:bookmarkEnd w:id="2"/>
      <w:r>
        <w:rPr>
          <w:rFonts w:ascii="Arial" w:hAnsi="Arial" w:cs="Arial"/>
          <w:sz w:val="20"/>
          <w:szCs w:val="20"/>
        </w:rPr>
        <w:t xml:space="preserve">11. </w:t>
      </w:r>
      <w:proofErr w:type="gramStart"/>
      <w:r>
        <w:rPr>
          <w:rFonts w:ascii="Arial" w:hAnsi="Arial" w:cs="Arial"/>
          <w:sz w:val="20"/>
          <w:szCs w:val="20"/>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Pr>
          <w:rFonts w:ascii="Arial" w:hAnsi="Arial" w:cs="Arial"/>
          <w:sz w:val="20"/>
          <w:szCs w:val="20"/>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Pr>
          <w:rFonts w:ascii="Arial" w:hAnsi="Arial" w:cs="Arial"/>
          <w:sz w:val="20"/>
          <w:szCs w:val="20"/>
        </w:rPr>
        <w:t>.</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bookmarkStart w:id="3" w:name="Par81"/>
      <w:bookmarkEnd w:id="3"/>
      <w:r>
        <w:rPr>
          <w:rFonts w:ascii="Arial" w:hAnsi="Arial" w:cs="Arial"/>
          <w:sz w:val="20"/>
          <w:szCs w:val="20"/>
        </w:rPr>
        <w:t>13. К типовым темам плановых контрольных мероприятий относятся: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 проверка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проверка осуществления бюджетных инвестиций;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проверка предоставления и использования средств, предоставленных в виде взноса в уставный капитал юридических лиц;</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проверка исполнения соглашений о предоставлении бюджетных кредитов;</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проверка использования средств государственного внебюджетного фонда;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проверка (ревизия) финансово-хозяйственной деятельности объекта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проверка использования сре</w:t>
      </w:r>
      <w:proofErr w:type="gramStart"/>
      <w:r>
        <w:rPr>
          <w:rFonts w:ascii="Arial" w:hAnsi="Arial" w:cs="Arial"/>
          <w:sz w:val="20"/>
          <w:szCs w:val="20"/>
        </w:rPr>
        <w:t>дств кр</w:t>
      </w:r>
      <w:proofErr w:type="gramEnd"/>
      <w:r>
        <w:rPr>
          <w:rFonts w:ascii="Arial" w:hAnsi="Arial" w:cs="Arial"/>
          <w:sz w:val="20"/>
          <w:szCs w:val="20"/>
        </w:rPr>
        <w:t>едита (займа), обеспеченного государственной (муниципальной) гарантией.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roofErr w:type="gramEnd"/>
      <w:r>
        <w:rPr>
          <w:rFonts w:ascii="Arial" w:hAnsi="Arial" w:cs="Arial"/>
          <w:sz w:val="20"/>
          <w:szCs w:val="20"/>
        </w:rPr>
        <w:t>.</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ar81" w:history="1">
        <w:r>
          <w:rPr>
            <w:rFonts w:ascii="Arial" w:hAnsi="Arial" w:cs="Arial"/>
            <w:color w:val="0000FF"/>
            <w:sz w:val="20"/>
            <w:szCs w:val="20"/>
          </w:rPr>
          <w:t>пунктом 13</w:t>
        </w:r>
      </w:hyperlink>
      <w:r>
        <w:rPr>
          <w:rFonts w:ascii="Arial" w:hAnsi="Arial" w:cs="Arial"/>
          <w:sz w:val="20"/>
          <w:szCs w:val="20"/>
        </w:rPr>
        <w:t xml:space="preserve"> стандарта типовых тем контрольных мероприятий в части предмета контроля и (или) указания на объекты контроля в соответствии со </w:t>
      </w:r>
      <w:hyperlink r:id="rId9" w:history="1">
        <w:r>
          <w:rPr>
            <w:rFonts w:ascii="Arial" w:hAnsi="Arial" w:cs="Arial"/>
            <w:color w:val="0000FF"/>
            <w:sz w:val="20"/>
            <w:szCs w:val="20"/>
          </w:rPr>
          <w:t>статьей 266.1</w:t>
        </w:r>
      </w:hyperlink>
      <w:r>
        <w:rPr>
          <w:rFonts w:ascii="Arial" w:hAnsi="Arial" w:cs="Arial"/>
          <w:sz w:val="20"/>
          <w:szCs w:val="20"/>
        </w:rPr>
        <w:t xml:space="preserve"> Бюджетного кодекса Российской Федерации.</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ar81" w:history="1">
        <w:r>
          <w:rPr>
            <w:rFonts w:ascii="Arial" w:hAnsi="Arial" w:cs="Arial"/>
            <w:color w:val="0000FF"/>
            <w:sz w:val="20"/>
            <w:szCs w:val="20"/>
          </w:rPr>
          <w:t>пункте 13</w:t>
        </w:r>
      </w:hyperlink>
      <w:r>
        <w:rPr>
          <w:rFonts w:ascii="Arial" w:hAnsi="Arial" w:cs="Arial"/>
          <w:sz w:val="20"/>
          <w:szCs w:val="20"/>
        </w:rPr>
        <w:t xml:space="preserve"> стандарта и в ведомственном стандарте органа контроля.</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обеспеченность органа контроля кадровыми, материально-техническими и финансовыми ресурсами в очередном финансовом году;</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proofErr w:type="gramStart"/>
      <w:r>
        <w:rPr>
          <w:rFonts w:ascii="Arial" w:hAnsi="Arial" w:cs="Arial"/>
          <w:sz w:val="20"/>
          <w:szCs w:val="20"/>
        </w:rP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w:t>
      </w:r>
      <w:proofErr w:type="gramEnd"/>
      <w:r>
        <w:rPr>
          <w:rFonts w:ascii="Arial" w:hAnsi="Arial" w:cs="Arial"/>
          <w:sz w:val="20"/>
          <w:szCs w:val="20"/>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rPr>
          <w:rFonts w:ascii="Arial" w:hAnsi="Arial" w:cs="Arial"/>
          <w:sz w:val="20"/>
          <w:szCs w:val="20"/>
        </w:rPr>
        <w:t>риск-ориентированного</w:t>
      </w:r>
      <w:proofErr w:type="gramEnd"/>
      <w:r>
        <w:rPr>
          <w:rFonts w:ascii="Arial" w:hAnsi="Arial" w:cs="Arial"/>
          <w:sz w:val="20"/>
          <w:szCs w:val="20"/>
        </w:rP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План контрольных мероприятий должен быть утвержден до завершения года, предшествующего планируемому году.</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Pr>
          <w:rFonts w:ascii="Arial" w:hAnsi="Arial" w:cs="Arial"/>
          <w:sz w:val="20"/>
          <w:szCs w:val="20"/>
        </w:rPr>
        <w:t>с</w:t>
      </w:r>
      <w:proofErr w:type="gramEnd"/>
      <w:r>
        <w:rPr>
          <w:rFonts w:ascii="Arial" w:hAnsi="Arial" w:cs="Arial"/>
          <w:sz w:val="20"/>
          <w:szCs w:val="20"/>
        </w:rPr>
        <w:t>:</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наступлением обстоятельств непреодолимой силы (чрезвычайных и непредотвратимых при наступивших условиях обстоятельств);</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недостаточностью временных и (или) трудовых ресурсов при необходимости проведения внеплановых контрольных мероприятий;</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6D4220" w:rsidRDefault="006D4220" w:rsidP="006D422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реорганизацией, ликвидацией объектов контроля.</w:t>
      </w:r>
    </w:p>
    <w:p w:rsidR="006D4220" w:rsidRDefault="006D4220" w:rsidP="006D4220">
      <w:pPr>
        <w:autoSpaceDE w:val="0"/>
        <w:autoSpaceDN w:val="0"/>
        <w:adjustRightInd w:val="0"/>
        <w:spacing w:after="0" w:line="240" w:lineRule="auto"/>
        <w:jc w:val="both"/>
        <w:rPr>
          <w:rFonts w:ascii="Arial" w:hAnsi="Arial" w:cs="Arial"/>
          <w:sz w:val="20"/>
          <w:szCs w:val="20"/>
        </w:rPr>
      </w:pPr>
    </w:p>
    <w:p w:rsidR="00F14D67" w:rsidRDefault="006D4220"/>
    <w:sectPr w:rsidR="00F14D67" w:rsidSect="00FA2B1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3B"/>
    <w:rsid w:val="006D4220"/>
    <w:rsid w:val="00735BDF"/>
    <w:rsid w:val="007F6270"/>
    <w:rsid w:val="00B1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C575A56FB15E60D242B8A95F1D051584CCBB7266A382AF77150066900E7D2E22FAE32844476401CD362B62E497D032AFED6D893dAG3J" TargetMode="External"/><Relationship Id="rId3" Type="http://schemas.openxmlformats.org/officeDocument/2006/relationships/settings" Target="settings.xml"/><Relationship Id="rId7" Type="http://schemas.openxmlformats.org/officeDocument/2006/relationships/hyperlink" Target="consultantplus://offline/ref=C34C575A56FB15E60D242B8A95F1D051584CCBB7266A382AF77150066900E7D2E22FAE3A8C427F1F19C673EE224D661C2BE0CADA91A1d0G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34C575A56FB15E60D242B8A95F1D051584FC9BB2A68382AF77150066900E7D2E22FAE3F8545751F19C673EE224D661C2BE0CADA91A1d0G7J" TargetMode="External"/><Relationship Id="rId11" Type="http://schemas.openxmlformats.org/officeDocument/2006/relationships/theme" Target="theme/theme1.xml"/><Relationship Id="rId5" Type="http://schemas.openxmlformats.org/officeDocument/2006/relationships/hyperlink" Target="consultantplus://offline/ref=C34C575A56FB15E60D242B8A95F1D051584FC9BB2A68382AF77150066900E7D2E22FAE3E8A4B7A1F19C673EE224D661C2BE0CADA91A1d0G7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4C575A56FB15E60D242B8A95F1D051584FC9BB2A68382AF77150066900E7D2E22FAE388B457E1F19C673EE224D661C2BE0CADA91A1d0G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2719</Words>
  <Characters>15499</Characters>
  <Application>Microsoft Office Word</Application>
  <DocSecurity>0</DocSecurity>
  <Lines>129</Lines>
  <Paragraphs>36</Paragraphs>
  <ScaleCrop>false</ScaleCrop>
  <Company>diakov.net</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2020-10-15T09:07:00Z</dcterms:created>
  <dcterms:modified xsi:type="dcterms:W3CDTF">2020-10-15T09:07:00Z</dcterms:modified>
</cp:coreProperties>
</file>